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6C88" w14:textId="21699845" w:rsidR="004D4247" w:rsidRPr="004D4247" w:rsidRDefault="00B714B9" w:rsidP="004D4247">
      <w:pPr>
        <w:spacing w:line="259" w:lineRule="auto"/>
        <w:jc w:val="both"/>
        <w:rPr>
          <w:rFonts w:ascii="Times New Roman" w:hAnsi="Times New Roman"/>
          <w:sz w:val="44"/>
          <w:szCs w:val="44"/>
          <w:lang w:val="kk-KZ"/>
        </w:rPr>
      </w:pPr>
      <w:r w:rsidRPr="00B714B9"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>”</w:t>
      </w:r>
      <w:r w:rsidRPr="00B714B9">
        <w:rPr>
          <w:rFonts w:ascii="Times New Roman" w:hAnsi="Times New Roman" w:cs="Times New Roman"/>
          <w:bCs/>
          <w:noProof/>
          <w:spacing w:val="-1"/>
          <w:sz w:val="40"/>
          <w:szCs w:val="40"/>
          <w:lang w:val="kk-KZ"/>
        </w:rPr>
        <w:t>Дағдарыс менеджменті</w:t>
      </w:r>
      <w:r w:rsidRPr="00B714B9"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>”</w:t>
      </w:r>
      <w:r w:rsidR="004D4247" w:rsidRPr="004D4247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п</w:t>
      </w:r>
      <w:r w:rsidR="004D4247"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ә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ні</w:t>
      </w:r>
      <w:r w:rsidR="004D4247" w:rsidRPr="004D4247">
        <w:rPr>
          <w:rFonts w:ascii="Times New Roman" w:eastAsia="Times New Roman" w:hAnsi="Times New Roman" w:cs="Times New Roman"/>
          <w:color w:val="000000"/>
          <w:spacing w:val="38"/>
          <w:sz w:val="44"/>
          <w:szCs w:val="44"/>
          <w:lang w:val="kk-KZ"/>
        </w:rPr>
        <w:t xml:space="preserve"> 6В0410</w:t>
      </w:r>
      <w:r w:rsidR="009C5BC6">
        <w:rPr>
          <w:rFonts w:ascii="Times New Roman" w:eastAsia="Times New Roman" w:hAnsi="Times New Roman" w:cs="Times New Roman"/>
          <w:color w:val="000000"/>
          <w:spacing w:val="38"/>
          <w:sz w:val="44"/>
          <w:szCs w:val="44"/>
          <w:lang w:val="kk-KZ"/>
        </w:rPr>
        <w:t>2</w:t>
      </w:r>
      <w:r w:rsidR="004D4247" w:rsidRPr="004D4247">
        <w:rPr>
          <w:rFonts w:ascii="Times New Roman" w:eastAsia="Times New Roman" w:hAnsi="Times New Roman" w:cs="Times New Roman"/>
          <w:color w:val="000000"/>
          <w:spacing w:val="38"/>
          <w:sz w:val="44"/>
          <w:szCs w:val="44"/>
          <w:lang w:val="kk-KZ"/>
        </w:rPr>
        <w:t>-</w:t>
      </w:r>
      <w:r w:rsidR="004D4247"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"</w:t>
      </w:r>
      <w:r w:rsidR="004D4247" w:rsidRPr="004D4247">
        <w:rPr>
          <w:rFonts w:ascii="Times New Roman" w:eastAsia="Times New Roman" w:hAnsi="Times New Roman" w:cs="Times New Roman"/>
          <w:color w:val="000000"/>
          <w:spacing w:val="3"/>
          <w:w w:val="106"/>
          <w:sz w:val="44"/>
          <w:szCs w:val="44"/>
          <w:lang w:val="kk-KZ"/>
        </w:rPr>
        <w:t>Ме</w:t>
      </w:r>
      <w:r w:rsidR="009C5BC6">
        <w:rPr>
          <w:rFonts w:ascii="Times New Roman" w:eastAsia="Times New Roman" w:hAnsi="Times New Roman" w:cs="Times New Roman"/>
          <w:color w:val="000000"/>
          <w:spacing w:val="3"/>
          <w:w w:val="106"/>
          <w:sz w:val="44"/>
          <w:szCs w:val="44"/>
          <w:lang w:val="kk-KZ"/>
        </w:rPr>
        <w:t>неджмент</w:t>
      </w:r>
      <w:r w:rsidR="004D4247"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>"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 xml:space="preserve"> ма</w:t>
      </w:r>
      <w:r w:rsidR="004D4247"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м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анд</w:t>
      </w:r>
      <w:r w:rsidR="004D4247"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ы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ғы</w:t>
      </w:r>
      <w:r w:rsidR="004D4247" w:rsidRPr="004D4247">
        <w:rPr>
          <w:rFonts w:ascii="Times New Roman" w:eastAsia="Times New Roman" w:hAnsi="Times New Roman" w:cs="Times New Roman"/>
          <w:color w:val="000000"/>
          <w:spacing w:val="58"/>
          <w:sz w:val="44"/>
          <w:szCs w:val="44"/>
          <w:lang w:val="kk-KZ"/>
        </w:rPr>
        <w:t xml:space="preserve"> 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3</w:t>
      </w:r>
      <w:r w:rsidR="004D4247"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="004D4247"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к</w:t>
      </w:r>
      <w:r w:rsidR="004D4247" w:rsidRPr="004D4247">
        <w:rPr>
          <w:rFonts w:ascii="Times New Roman" w:eastAsia="Times New Roman" w:hAnsi="Times New Roman" w:cs="Times New Roman"/>
          <w:color w:val="000000"/>
          <w:spacing w:val="-4"/>
          <w:sz w:val="44"/>
          <w:szCs w:val="44"/>
          <w:lang w:val="kk-KZ"/>
        </w:rPr>
        <w:t>у</w:t>
      </w:r>
      <w:r w:rsidR="004D4247"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р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с</w:t>
      </w:r>
      <w:r w:rsidR="004D4247"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студенттері</w:t>
      </w:r>
      <w:r w:rsidR="004D4247"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үш</w:t>
      </w:r>
      <w:r w:rsidR="004D4247"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і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н:</w:t>
      </w:r>
      <w:r w:rsidR="004D4247"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="004D4247" w:rsidRPr="004D4247">
        <w:rPr>
          <w:rFonts w:ascii="Times New Roman" w:hAnsi="Times New Roman"/>
          <w:sz w:val="44"/>
          <w:szCs w:val="44"/>
          <w:lang w:val="kk-KZ"/>
        </w:rPr>
        <w:t>16.01.2023-06.</w:t>
      </w:r>
      <w:r w:rsidR="004D4247" w:rsidRPr="004D4247">
        <w:rPr>
          <w:rFonts w:ascii="Times New Roman" w:hAnsi="Times New Roman"/>
          <w:sz w:val="44"/>
          <w:szCs w:val="44"/>
          <w:lang w:val="en-US"/>
        </w:rPr>
        <w:t>0</w:t>
      </w:r>
      <w:r w:rsidR="004D4247" w:rsidRPr="004D4247">
        <w:rPr>
          <w:rFonts w:ascii="Times New Roman" w:hAnsi="Times New Roman"/>
          <w:sz w:val="44"/>
          <w:szCs w:val="44"/>
          <w:lang w:val="kk-KZ"/>
        </w:rPr>
        <w:t xml:space="preserve">5.2023 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ара</w:t>
      </w:r>
      <w:r w:rsidR="004D4247"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л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ығында</w:t>
      </w:r>
      <w:r w:rsidR="004D4247"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 xml:space="preserve"> о</w:t>
      </w:r>
      <w:r w:rsidR="004D4247"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қ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ытылады .  Жин</w:t>
      </w:r>
      <w:r w:rsidR="004D4247"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ақ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т</w:t>
      </w:r>
      <w:r w:rsidR="004D4247"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ғ</w:t>
      </w:r>
      <w:r w:rsidR="004D4247"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</w:t>
      </w:r>
      <w:r w:rsidR="004D4247" w:rsidRPr="004D4247">
        <w:rPr>
          <w:rFonts w:ascii="Times New Roman" w:eastAsia="Times New Roman" w:hAnsi="Times New Roman" w:cs="Times New Roman"/>
          <w:color w:val="000000"/>
          <w:spacing w:val="6"/>
          <w:sz w:val="44"/>
          <w:szCs w:val="44"/>
          <w:lang w:val="kk-KZ"/>
        </w:rPr>
        <w:t xml:space="preserve"> 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теори</w:t>
      </w:r>
      <w:r w:rsidR="004D4247"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я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л</w:t>
      </w:r>
      <w:r w:rsidR="004D4247"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ы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="004D4247"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 xml:space="preserve"> 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және</w:t>
      </w:r>
      <w:r w:rsidR="004D4247" w:rsidRPr="004D4247">
        <w:rPr>
          <w:rFonts w:ascii="Times New Roman" w:eastAsia="Times New Roman" w:hAnsi="Times New Roman" w:cs="Times New Roman"/>
          <w:color w:val="000000"/>
          <w:spacing w:val="8"/>
          <w:sz w:val="44"/>
          <w:szCs w:val="44"/>
          <w:lang w:val="kk-KZ"/>
        </w:rPr>
        <w:t xml:space="preserve"> 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практ</w:t>
      </w:r>
      <w:r w:rsidR="004D4247"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>и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кал</w:t>
      </w:r>
      <w:r w:rsidR="004D4247"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ы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="004D4247"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 xml:space="preserve"> 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б</w:t>
      </w:r>
      <w:r w:rsidR="004D4247"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і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лім</w:t>
      </w:r>
      <w:r w:rsidR="004D4247"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д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ерін</w:t>
      </w:r>
      <w:r w:rsidR="004D4247"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і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ң</w:t>
      </w:r>
      <w:r w:rsidR="004D4247" w:rsidRPr="004D4247">
        <w:rPr>
          <w:rFonts w:ascii="Times New Roman" w:eastAsia="Times New Roman" w:hAnsi="Times New Roman" w:cs="Times New Roman"/>
          <w:color w:val="000000"/>
          <w:spacing w:val="7"/>
          <w:sz w:val="44"/>
          <w:szCs w:val="44"/>
          <w:lang w:val="kk-KZ"/>
        </w:rPr>
        <w:t xml:space="preserve"> 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="004D4247"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о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ры</w:t>
      </w:r>
      <w:r w:rsidR="004D4247"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т</w:t>
      </w:r>
      <w:r w:rsidR="004D4247" w:rsidRPr="004D4247">
        <w:rPr>
          <w:rFonts w:ascii="Times New Roman" w:eastAsia="Times New Roman" w:hAnsi="Times New Roman" w:cs="Times New Roman"/>
          <w:color w:val="000000"/>
          <w:spacing w:val="-3"/>
          <w:sz w:val="44"/>
          <w:szCs w:val="44"/>
          <w:lang w:val="kk-KZ"/>
        </w:rPr>
        <w:t>ы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</w:t>
      </w:r>
      <w:r w:rsidR="004D4247"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д</w:t>
      </w:r>
      <w:r w:rsidR="004D4247"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ы</w:t>
      </w:r>
      <w:r w:rsidR="004D4247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 xml:space="preserve">сы </w:t>
      </w:r>
      <w:r w:rsidR="004D4247" w:rsidRPr="004D424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>емтихан</w:t>
      </w:r>
      <w:r w:rsidR="004D4247" w:rsidRPr="004D4247"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44"/>
          <w:lang w:val="kk-KZ"/>
        </w:rPr>
        <w:t xml:space="preserve"> </w:t>
      </w:r>
      <w:r w:rsidR="004D4247" w:rsidRPr="004D4247">
        <w:rPr>
          <w:rFonts w:ascii="Times New Roman" w:eastAsia="Times New Roman" w:hAnsi="Times New Roman" w:cs="Times New Roman"/>
          <w:b/>
          <w:bCs/>
          <w:color w:val="000000"/>
          <w:w w:val="113"/>
          <w:sz w:val="44"/>
          <w:szCs w:val="44"/>
          <w:lang w:val="kk-KZ"/>
        </w:rPr>
        <w:t xml:space="preserve">жазбаша дәстүрлі </w:t>
      </w:r>
      <w:r w:rsidR="004D4247" w:rsidRPr="004D4247">
        <w:rPr>
          <w:b/>
          <w:bCs/>
          <w:sz w:val="44"/>
          <w:szCs w:val="44"/>
          <w:lang w:val="kk-KZ"/>
        </w:rPr>
        <w:t xml:space="preserve"> </w:t>
      </w:r>
      <w:r w:rsidR="004D4247" w:rsidRPr="004D4247">
        <w:rPr>
          <w:rFonts w:ascii="Times New Roman" w:hAnsi="Times New Roman" w:cs="Times New Roman"/>
          <w:b/>
          <w:bCs/>
          <w:sz w:val="44"/>
          <w:szCs w:val="44"/>
          <w:lang w:val="kk-KZ"/>
        </w:rPr>
        <w:t>– Univer АЖ-да өткізіледі (</w:t>
      </w:r>
      <w:r w:rsidR="004D4247" w:rsidRPr="004D4247">
        <w:rPr>
          <w:rFonts w:ascii="Times New Roman" w:hAnsi="Times New Roman" w:cs="Times New Roman"/>
          <w:sz w:val="44"/>
          <w:szCs w:val="44"/>
          <w:lang w:val="kk-KZ"/>
        </w:rPr>
        <w:t>Емтихан сессиясы</w:t>
      </w:r>
      <w:r w:rsidR="004D4247" w:rsidRPr="004D4247">
        <w:rPr>
          <w:rFonts w:ascii="Times New Roman" w:hAnsi="Times New Roman" w:cs="Times New Roman"/>
          <w:b/>
          <w:bCs/>
          <w:sz w:val="44"/>
          <w:szCs w:val="44"/>
          <w:lang w:val="kk-KZ"/>
        </w:rPr>
        <w:t xml:space="preserve"> </w:t>
      </w:r>
      <w:r w:rsidR="004D4247" w:rsidRPr="004D4247">
        <w:rPr>
          <w:rFonts w:ascii="Times New Roman" w:hAnsi="Times New Roman" w:cs="Times New Roman"/>
          <w:sz w:val="44"/>
          <w:szCs w:val="44"/>
          <w:lang w:val="kk-KZ"/>
        </w:rPr>
        <w:t>08.05.</w:t>
      </w:r>
      <w:r w:rsidR="004D4247" w:rsidRPr="004D4247">
        <w:rPr>
          <w:rFonts w:ascii="Times New Roman" w:hAnsi="Times New Roman"/>
          <w:sz w:val="44"/>
          <w:szCs w:val="44"/>
          <w:lang w:val="kk-KZ"/>
        </w:rPr>
        <w:t>2023-27.05.2023)</w:t>
      </w:r>
    </w:p>
    <w:p w14:paraId="70AA5DFE" w14:textId="77777777" w:rsidR="004D4247" w:rsidRPr="004D4247" w:rsidRDefault="004D4247" w:rsidP="004D424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4D424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офлайн форматта өткізіледі. Емтихан тапсыру кезінде қойылған сұрақтарға толық жазбаша  жауап беру қажет. </w:t>
      </w:r>
    </w:p>
    <w:bookmarkEnd w:id="0"/>
    <w:p w14:paraId="52E4C924" w14:textId="77777777" w:rsidR="004D4247" w:rsidRPr="004D4247" w:rsidRDefault="004D4247" w:rsidP="004D424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E054B43" w14:textId="77777777" w:rsidR="004D4247" w:rsidRPr="004D4247" w:rsidRDefault="004D4247" w:rsidP="004D4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42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1C25135F" w14:textId="77777777" w:rsidR="004D4247" w:rsidRPr="004D4247" w:rsidRDefault="004D4247" w:rsidP="004D424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</w:p>
    <w:p w14:paraId="5564E8AB" w14:textId="77777777" w:rsidR="004D4247" w:rsidRPr="004D4247" w:rsidRDefault="004D4247" w:rsidP="004D4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4247">
        <w:rPr>
          <w:rFonts w:ascii="Times New Roman" w:hAnsi="Times New Roman"/>
          <w:sz w:val="28"/>
          <w:szCs w:val="28"/>
          <w:lang w:val="kk-KZ" w:eastAsia="ko-KR"/>
        </w:rPr>
        <w:t xml:space="preserve">- </w:t>
      </w:r>
      <w:r w:rsidRPr="004D4247">
        <w:rPr>
          <w:rFonts w:ascii="Times New Roman" w:eastAsia="Calibri" w:hAnsi="Times New Roman" w:cs="Times New Roman"/>
          <w:sz w:val="28"/>
          <w:szCs w:val="28"/>
          <w:lang w:val="kk-KZ"/>
        </w:rPr>
        <w:t>қабылданған басқарушылық шешімнің нәтижелері мен салдарын бағалау және қабылданатын шешімдердің әлеуметтік маңыздылығы тұрғысынан оларға жауапкершілік алуға дайындықты;</w:t>
      </w:r>
    </w:p>
    <w:p w14:paraId="1B3EDB10" w14:textId="77777777" w:rsidR="004D4247" w:rsidRPr="004D4247" w:rsidRDefault="004D4247" w:rsidP="004D4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4247">
        <w:rPr>
          <w:sz w:val="28"/>
          <w:szCs w:val="28"/>
          <w:lang w:val="kk-KZ"/>
        </w:rPr>
        <w:t xml:space="preserve">- </w:t>
      </w:r>
      <w:r w:rsidRPr="004D4247">
        <w:rPr>
          <w:rFonts w:ascii="Times New Roman" w:eastAsia="Calibri" w:hAnsi="Times New Roman" w:cs="Times New Roman"/>
          <w:sz w:val="28"/>
          <w:szCs w:val="28"/>
          <w:lang w:val="kk-KZ"/>
        </w:rPr>
        <w:t>кәсіби қызметтің басымдықтарын анықтау мен талдауды;</w:t>
      </w:r>
    </w:p>
    <w:p w14:paraId="5566C0B7" w14:textId="77777777" w:rsidR="004D4247" w:rsidRPr="004D4247" w:rsidRDefault="004D4247" w:rsidP="004D4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4247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шешімдерді, оның ішінде белгісіздік және тәуекелдер жағдайында әзірлеу және тиімді орындауды;</w:t>
      </w:r>
    </w:p>
    <w:p w14:paraId="61FC0665" w14:textId="77777777" w:rsidR="004D4247" w:rsidRPr="004D4247" w:rsidRDefault="004D4247" w:rsidP="004D42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4D4247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шешімді жүзеге асыру кезінде реттеушілік әсердің барабар құралдары мен технологияларын қолдануды;</w:t>
      </w:r>
    </w:p>
    <w:p w14:paraId="1C8E2956" w14:textId="77777777" w:rsidR="004D4247" w:rsidRPr="004D4247" w:rsidRDefault="004D4247" w:rsidP="004D4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4D4247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- </w:t>
      </w:r>
      <w:r w:rsidRPr="004D4247">
        <w:rPr>
          <w:rFonts w:ascii="Times New Roman" w:eastAsia="Calibri" w:hAnsi="Times New Roman" w:cs="Times New Roman"/>
          <w:sz w:val="28"/>
          <w:szCs w:val="28"/>
          <w:lang w:val="kk-KZ"/>
        </w:rPr>
        <w:t>топтық серпінді үдерістерін және команданы қалыптастыру қағидаларын білу негізінде топтық жұмысқа тиімді қатысуды.</w:t>
      </w:r>
    </w:p>
    <w:p w14:paraId="14D47726" w14:textId="77777777" w:rsidR="004D4247" w:rsidRPr="004D4247" w:rsidRDefault="004D4247" w:rsidP="004D424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5EBBB68" w14:textId="77777777" w:rsidR="004D4247" w:rsidRPr="004D4247" w:rsidRDefault="004D4247" w:rsidP="004D42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D424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 құрастырылатын тақырыптар:</w:t>
      </w:r>
    </w:p>
    <w:p w14:paraId="63046993" w14:textId="5C453D24" w:rsidR="00380FDB" w:rsidRDefault="00380FDB"/>
    <w:p w14:paraId="1D976A1E" w14:textId="77777777" w:rsidR="0016422B" w:rsidRPr="00DE591F" w:rsidRDefault="0016422B" w:rsidP="0016422B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sz w:val="36"/>
          <w:szCs w:val="36"/>
          <w:lang w:val="kk-KZ"/>
        </w:rPr>
        <w:t xml:space="preserve">Дағдарыс менеджментінің </w:t>
      </w:r>
      <w:r w:rsidRPr="00DE591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DE591F">
        <w:rPr>
          <w:rFonts w:ascii="Times New Roman" w:hAnsi="Times New Roman" w:cs="Times New Roman"/>
          <w:sz w:val="36"/>
          <w:szCs w:val="36"/>
          <w:lang w:val="kk-KZ"/>
        </w:rPr>
        <w:t>ғылыми негіздері</w:t>
      </w:r>
    </w:p>
    <w:p w14:paraId="54CEC3BC" w14:textId="77777777" w:rsidR="0016422B" w:rsidRPr="00DE591F" w:rsidRDefault="0016422B" w:rsidP="0016422B">
      <w:pPr>
        <w:spacing w:after="0" w:line="240" w:lineRule="auto"/>
        <w:rPr>
          <w:rFonts w:ascii="Times New Roman" w:eastAsiaTheme="minorEastAsia" w:hAnsi="Times New Roman" w:cs="Times New Roman"/>
          <w:bCs/>
          <w:sz w:val="36"/>
          <w:szCs w:val="36"/>
          <w:lang w:val="kk-KZ" w:eastAsia="ru-RU"/>
        </w:rPr>
      </w:pPr>
      <w:r w:rsidRPr="00DE591F">
        <w:rPr>
          <w:rFonts w:ascii="Times New Roman" w:hAnsi="Times New Roman" w:cs="Times New Roman"/>
          <w:b/>
          <w:bCs/>
          <w:sz w:val="36"/>
          <w:szCs w:val="36"/>
          <w:lang w:val="kk-KZ" w:eastAsia="ar-SA"/>
        </w:rPr>
        <w:t xml:space="preserve"> 2.</w:t>
      </w:r>
      <w:r w:rsidRPr="00DE591F">
        <w:rPr>
          <w:rFonts w:ascii="Times New Roman" w:hAnsi="Times New Roman" w:cs="Times New Roman"/>
          <w:sz w:val="36"/>
          <w:szCs w:val="36"/>
          <w:lang w:val="kk-KZ" w:eastAsia="ar-SA"/>
        </w:rPr>
        <w:t xml:space="preserve"> </w:t>
      </w:r>
      <w:r w:rsidRPr="00DE591F">
        <w:rPr>
          <w:rFonts w:ascii="Times New Roman" w:hAnsi="Times New Roman" w:cs="Times New Roman"/>
          <w:sz w:val="36"/>
          <w:szCs w:val="36"/>
          <w:lang w:val="kk-KZ"/>
        </w:rPr>
        <w:t>Дағдарыс менеджментінің обьектілері</w:t>
      </w:r>
      <w:r w:rsidRPr="00DE591F">
        <w:rPr>
          <w:rFonts w:ascii="Times New Roman" w:hAnsi="Times New Roman" w:cs="Times New Roman"/>
          <w:bCs/>
          <w:sz w:val="36"/>
          <w:szCs w:val="36"/>
          <w:lang w:val="kk-KZ"/>
        </w:rPr>
        <w:t>,    ерекшеліктері</w:t>
      </w:r>
    </w:p>
    <w:p w14:paraId="1B37DE0A" w14:textId="77777777" w:rsidR="0016422B" w:rsidRPr="00DE591F" w:rsidRDefault="0016422B" w:rsidP="0016422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val="kk-KZ" w:eastAsia="ru-RU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3. Әлеуметтік-экономикалық дамудағы дағдарыс</w:t>
      </w:r>
    </w:p>
    <w:p w14:paraId="494DD7D6" w14:textId="77777777" w:rsidR="0016422B" w:rsidRPr="00DE591F" w:rsidRDefault="0016422B" w:rsidP="0016422B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4.</w:t>
      </w:r>
      <w:r w:rsidRPr="00DE591F">
        <w:rPr>
          <w:rFonts w:ascii="Times New Roman" w:hAnsi="Times New Roman" w:cs="Times New Roman"/>
          <w:sz w:val="36"/>
          <w:szCs w:val="36"/>
          <w:lang w:val="kk-KZ"/>
        </w:rPr>
        <w:t xml:space="preserve"> Дағдарыс менеджментінің  кәсіпорынды басқару жүйесіндегі орны</w:t>
      </w:r>
    </w:p>
    <w:p w14:paraId="4A5DFB0B" w14:textId="77777777" w:rsidR="0016422B" w:rsidRPr="00DE591F" w:rsidRDefault="0016422B" w:rsidP="0016422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val="kk-KZ" w:eastAsia="ru-RU"/>
        </w:rPr>
      </w:pPr>
      <w:r w:rsidRPr="00DE591F">
        <w:rPr>
          <w:rFonts w:ascii="Times New Roman" w:hAnsi="Times New Roman" w:cs="Times New Roman"/>
          <w:sz w:val="36"/>
          <w:szCs w:val="36"/>
          <w:lang w:val="kk-KZ"/>
        </w:rPr>
        <w:t>5.</w:t>
      </w: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 Дағдарысты қарсы басқару жүйесіндегі тәуекел-менеджмент</w:t>
      </w:r>
    </w:p>
    <w:p w14:paraId="1274A7B8" w14:textId="77777777" w:rsidR="0016422B" w:rsidRPr="00DE591F" w:rsidRDefault="0016422B" w:rsidP="0016422B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6.</w:t>
      </w:r>
      <w:r w:rsidRPr="00DE591F">
        <w:rPr>
          <w:rFonts w:ascii="Times New Roman" w:hAnsi="Times New Roman" w:cs="Times New Roman"/>
          <w:sz w:val="36"/>
          <w:szCs w:val="36"/>
          <w:lang w:val="kk-KZ"/>
        </w:rPr>
        <w:t xml:space="preserve"> Дағдарысқа қарсы тактика және стратегия</w:t>
      </w:r>
    </w:p>
    <w:p w14:paraId="205305B4" w14:textId="77777777" w:rsidR="0016422B" w:rsidRPr="00DE591F" w:rsidRDefault="0016422B" w:rsidP="0016422B">
      <w:pPr>
        <w:spacing w:after="0" w:line="240" w:lineRule="auto"/>
        <w:rPr>
          <w:rFonts w:ascii="Times New Roman" w:eastAsiaTheme="minorEastAsia" w:hAnsi="Times New Roman" w:cs="Times New Roman"/>
          <w:bCs/>
          <w:sz w:val="36"/>
          <w:szCs w:val="36"/>
          <w:lang w:val="kk-KZ" w:eastAsia="ru-RU"/>
        </w:rPr>
      </w:pPr>
      <w:r w:rsidRPr="00DE591F">
        <w:rPr>
          <w:rFonts w:ascii="Times New Roman" w:hAnsi="Times New Roman" w:cs="Times New Roman"/>
          <w:sz w:val="36"/>
          <w:szCs w:val="36"/>
          <w:lang w:val="kk-KZ"/>
        </w:rPr>
        <w:t>7.</w:t>
      </w:r>
      <w:r w:rsidRPr="00DE591F">
        <w:rPr>
          <w:rFonts w:ascii="Times New Roman" w:hAnsi="Times New Roman" w:cs="Times New Roman"/>
          <w:bCs/>
          <w:sz w:val="36"/>
          <w:szCs w:val="36"/>
          <w:lang w:val="kk-KZ"/>
        </w:rPr>
        <w:t xml:space="preserve"> Кәсіпорындардың төлем қабілетсіздігін мемлекеттік реттеу</w:t>
      </w:r>
    </w:p>
    <w:p w14:paraId="2C0E8549" w14:textId="77777777" w:rsidR="0016422B" w:rsidRPr="00DE591F" w:rsidRDefault="0016422B" w:rsidP="0016422B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val="kk-KZ" w:eastAsia="ru-RU"/>
        </w:rPr>
      </w:pPr>
      <w:r w:rsidRPr="00DE591F">
        <w:rPr>
          <w:rFonts w:ascii="Times New Roman" w:hAnsi="Times New Roman" w:cs="Times New Roman"/>
          <w:bCs/>
          <w:sz w:val="36"/>
          <w:szCs w:val="36"/>
          <w:lang w:val="kk-KZ"/>
        </w:rPr>
        <w:lastRenderedPageBreak/>
        <w:t>8.</w:t>
      </w:r>
      <w:r w:rsidRPr="00DE591F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 xml:space="preserve"> Коммерциялық, қаржылық және өндірістік тәуекелдер</w:t>
      </w:r>
    </w:p>
    <w:p w14:paraId="441C1284" w14:textId="77777777" w:rsidR="0016422B" w:rsidRPr="00DE591F" w:rsidRDefault="0016422B" w:rsidP="0016422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val="kk-KZ" w:eastAsia="ru-RU"/>
        </w:rPr>
      </w:pPr>
      <w:r w:rsidRPr="00DE591F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9.</w:t>
      </w: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 Белгісіздік жағдайындағы дағдарыс менеджменті</w:t>
      </w:r>
    </w:p>
    <w:p w14:paraId="03FF395C" w14:textId="77777777" w:rsidR="0016422B" w:rsidRPr="00DE591F" w:rsidRDefault="0016422B" w:rsidP="0016422B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val="kk-KZ" w:eastAsia="ru-RU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10. </w:t>
      </w:r>
      <w:r w:rsidRPr="00DE591F">
        <w:rPr>
          <w:rFonts w:ascii="Times New Roman" w:hAnsi="Times New Roman" w:cs="Times New Roman"/>
          <w:color w:val="000000"/>
          <w:sz w:val="36"/>
          <w:szCs w:val="36"/>
          <w:lang w:val="kk-KZ"/>
        </w:rPr>
        <w:t>К</w:t>
      </w:r>
      <w:r w:rsidRPr="00DE591F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әсіпорындардың қаржылай сауы</w:t>
      </w:r>
      <w:r w:rsidRPr="00DE591F">
        <w:rPr>
          <w:rFonts w:ascii="Times New Roman" w:hAnsi="Times New Roman" w:cs="Times New Roman"/>
          <w:color w:val="000000"/>
          <w:sz w:val="36"/>
          <w:szCs w:val="36"/>
          <w:lang w:val="kk-KZ"/>
        </w:rPr>
        <w:t>қтыр</w:t>
      </w:r>
      <w:r w:rsidRPr="00DE591F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удың  қағидалары</w:t>
      </w:r>
    </w:p>
    <w:p w14:paraId="71482502" w14:textId="77777777" w:rsidR="0016422B" w:rsidRPr="00DE591F" w:rsidRDefault="0016422B" w:rsidP="0016422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val="kk-KZ" w:eastAsia="ru-RU"/>
        </w:rPr>
      </w:pPr>
      <w:r w:rsidRPr="00DE591F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11.</w:t>
      </w: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 Дағдарысқа қарсы басқаруды бағалау</w:t>
      </w:r>
    </w:p>
    <w:p w14:paraId="77C0AC78" w14:textId="77777777" w:rsidR="0016422B" w:rsidRPr="00DE591F" w:rsidRDefault="0016422B" w:rsidP="0016422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val="kk-KZ" w:eastAsia="ru-RU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12. Дағдарыс жағдайында персоналды басқару</w:t>
      </w:r>
    </w:p>
    <w:p w14:paraId="35A5636B" w14:textId="77777777" w:rsidR="0016422B" w:rsidRPr="00DE591F" w:rsidRDefault="0016422B" w:rsidP="0016422B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13.</w:t>
      </w:r>
      <w:r w:rsidRPr="00DE591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DE591F">
        <w:rPr>
          <w:rFonts w:ascii="Times New Roman" w:hAnsi="Times New Roman" w:cs="Times New Roman"/>
          <w:color w:val="FF0000"/>
          <w:sz w:val="36"/>
          <w:szCs w:val="36"/>
          <w:lang w:val="kk-KZ"/>
        </w:rPr>
        <w:t>К</w:t>
      </w:r>
      <w:r w:rsidRPr="00DE591F">
        <w:rPr>
          <w:rFonts w:ascii="Times New Roman" w:hAnsi="Times New Roman" w:cs="Times New Roman"/>
          <w:sz w:val="36"/>
          <w:szCs w:val="36"/>
          <w:lang w:val="kk-KZ"/>
        </w:rPr>
        <w:t>әсіпорындардың банкротқа ұшырауы мүмкіндігін болжау әдістері</w:t>
      </w:r>
    </w:p>
    <w:p w14:paraId="24E3C209" w14:textId="77777777" w:rsidR="0016422B" w:rsidRPr="00DE591F" w:rsidRDefault="0016422B" w:rsidP="0016422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val="kk-KZ" w:eastAsia="ru-RU"/>
        </w:rPr>
      </w:pPr>
      <w:r w:rsidRPr="00DE591F">
        <w:rPr>
          <w:rFonts w:ascii="Times New Roman" w:hAnsi="Times New Roman" w:cs="Times New Roman"/>
          <w:sz w:val="36"/>
          <w:szCs w:val="36"/>
          <w:lang w:val="kk-KZ"/>
        </w:rPr>
        <w:t xml:space="preserve">14. </w:t>
      </w: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Дағдарыс менеджментіндегі стратегиялық инвестиция</w:t>
      </w:r>
    </w:p>
    <w:p w14:paraId="509795A8" w14:textId="77777777" w:rsidR="0016422B" w:rsidRPr="00DE591F" w:rsidRDefault="0016422B" w:rsidP="0016422B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val="kk-KZ" w:eastAsia="ru-RU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15. Дағдарыс менеджменті тиімділігін жетілдірудің бағыттары</w:t>
      </w:r>
    </w:p>
    <w:p w14:paraId="6747794C" w14:textId="3C05560A" w:rsidR="00FD44E3" w:rsidRPr="0016422B" w:rsidRDefault="00FD44E3" w:rsidP="00FD44E3">
      <w:pPr>
        <w:rPr>
          <w:lang w:val="kk-KZ"/>
        </w:rPr>
      </w:pPr>
    </w:p>
    <w:p w14:paraId="33C29A05" w14:textId="4B9B8A3B" w:rsidR="00FD44E3" w:rsidRPr="0016422B" w:rsidRDefault="00FD44E3" w:rsidP="00FD44E3">
      <w:pPr>
        <w:rPr>
          <w:lang w:val="kk-KZ"/>
        </w:rPr>
      </w:pPr>
    </w:p>
    <w:p w14:paraId="2912E029" w14:textId="542E5FDB" w:rsidR="00FD44E3" w:rsidRPr="0016422B" w:rsidRDefault="00FD44E3" w:rsidP="00FD44E3">
      <w:pPr>
        <w:rPr>
          <w:lang w:val="kk-KZ"/>
        </w:rPr>
      </w:pPr>
    </w:p>
    <w:p w14:paraId="12204208" w14:textId="7A91EED7" w:rsidR="00FD44E3" w:rsidRPr="0016422B" w:rsidRDefault="00FD44E3" w:rsidP="00FD44E3">
      <w:pPr>
        <w:rPr>
          <w:lang w:val="kk-KZ"/>
        </w:rPr>
      </w:pPr>
    </w:p>
    <w:p w14:paraId="4B84A850" w14:textId="3B39E8CB" w:rsidR="00FD44E3" w:rsidRPr="0016422B" w:rsidRDefault="00FD44E3" w:rsidP="00FD44E3">
      <w:pPr>
        <w:rPr>
          <w:lang w:val="kk-KZ"/>
        </w:rPr>
      </w:pPr>
    </w:p>
    <w:p w14:paraId="37A48485" w14:textId="3D7CB4D0" w:rsidR="00FD44E3" w:rsidRPr="0016422B" w:rsidRDefault="00FD44E3" w:rsidP="00FD44E3">
      <w:pPr>
        <w:rPr>
          <w:lang w:val="kk-KZ"/>
        </w:rPr>
      </w:pPr>
    </w:p>
    <w:p w14:paraId="6E5709BA" w14:textId="77777777" w:rsidR="00FD44E3" w:rsidRDefault="00FD44E3" w:rsidP="00FD44E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6422B">
        <w:rPr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1C1D10C5" w14:textId="77777777" w:rsidR="00FD44E3" w:rsidRDefault="00FD44E3" w:rsidP="00FD44E3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D44E3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1" w:name="_Hlk92104819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22191422" w14:textId="77777777" w:rsidR="00FD44E3" w:rsidRDefault="00FD44E3" w:rsidP="00FD44E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37262987" w14:textId="77777777" w:rsidR="00FD44E3" w:rsidRDefault="00FD44E3" w:rsidP="00FD44E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4E13FD54" w14:textId="77777777" w:rsidR="00FD44E3" w:rsidRDefault="00FD44E3" w:rsidP="00FD44E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FEA5ED2" w14:textId="77777777" w:rsidR="00FD44E3" w:rsidRDefault="00FD44E3" w:rsidP="00FD44E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0D44A04B" w14:textId="77777777" w:rsidR="00FD44E3" w:rsidRDefault="00FD44E3" w:rsidP="00FD44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1CC6166B" w14:textId="77777777" w:rsidR="00FD44E3" w:rsidRDefault="00FD44E3" w:rsidP="00FD44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7656D10C" w14:textId="77777777" w:rsidR="00FD44E3" w:rsidRDefault="00FD44E3" w:rsidP="00FD44E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7B9EB2D1" w14:textId="77777777" w:rsidR="00FD44E3" w:rsidRDefault="00FD44E3" w:rsidP="00FD44E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123EE6B4" w14:textId="77777777" w:rsidR="00FD44E3" w:rsidRDefault="00FD44E3" w:rsidP="00FD44E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122534BA" w14:textId="77777777" w:rsidR="00FD44E3" w:rsidRDefault="00FD44E3" w:rsidP="00FD44E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386472ED" w14:textId="77777777" w:rsidR="00FD44E3" w:rsidRDefault="00FD44E3" w:rsidP="00FD44E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0099C026" w14:textId="77777777" w:rsidR="00FD44E3" w:rsidRDefault="00FD44E3" w:rsidP="00FD44E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256D2150" w14:textId="77777777" w:rsidR="00FD44E3" w:rsidRDefault="00FD44E3" w:rsidP="00FD44E3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66A3B3AE" w14:textId="77777777" w:rsidR="00FD44E3" w:rsidRDefault="00FD44E3" w:rsidP="00FD44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313119B4" w14:textId="77777777" w:rsidR="00FD44E3" w:rsidRDefault="00FD44E3" w:rsidP="00FD44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43B3D75F" w14:textId="77777777" w:rsidR="00FD44E3" w:rsidRDefault="00FD44E3" w:rsidP="00FD44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655A2E34" w14:textId="77777777" w:rsidR="00FD44E3" w:rsidRDefault="00FD44E3" w:rsidP="00FD44E3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4FAB60CC" w14:textId="77777777" w:rsidR="00FD44E3" w:rsidRDefault="00FD44E3" w:rsidP="00FD44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7CAD5F20" w14:textId="77777777" w:rsidR="00FD44E3" w:rsidRDefault="00FD44E3" w:rsidP="00FD44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222759D8" w14:textId="77777777" w:rsidR="00FD44E3" w:rsidRDefault="00FD44E3" w:rsidP="00FD44E3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5AAE79D3" w14:textId="77777777" w:rsidR="00FD44E3" w:rsidRDefault="00FD44E3" w:rsidP="00FD44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728482FE" w14:textId="77777777" w:rsidR="00FD44E3" w:rsidRDefault="00FD44E3" w:rsidP="00FD44E3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60A24754" w14:textId="77777777" w:rsidR="00FD44E3" w:rsidRDefault="00FD44E3" w:rsidP="00FD44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4C974180" w14:textId="77777777" w:rsidR="00FD44E3" w:rsidRDefault="00FD44E3" w:rsidP="00FD44E3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61B89920" w14:textId="77777777" w:rsidR="00FD44E3" w:rsidRDefault="00FD44E3" w:rsidP="00FD44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01D7415D" w14:textId="77777777" w:rsidR="00FD44E3" w:rsidRDefault="00FD44E3" w:rsidP="00FD44E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39F32D01" w14:textId="77777777" w:rsidR="00FD44E3" w:rsidRDefault="00FD44E3" w:rsidP="00FD44E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41125D40" w14:textId="77777777" w:rsidR="00FD44E3" w:rsidRDefault="00FD44E3" w:rsidP="00FD44E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8904194" w14:textId="77777777" w:rsidR="00FD44E3" w:rsidRPr="00FD44E3" w:rsidRDefault="00FD44E3" w:rsidP="00FD44E3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5130C918" w14:textId="77777777" w:rsidR="00FD44E3" w:rsidRPr="00FD44E3" w:rsidRDefault="00FD44E3" w:rsidP="00FD44E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79F8126" w14:textId="77777777" w:rsidR="00FD44E3" w:rsidRDefault="00FD44E3" w:rsidP="00FD44E3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1D2A6A12" w14:textId="77777777" w:rsidR="00FD44E3" w:rsidRDefault="00FD44E3" w:rsidP="00FD44E3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7F33F127" w14:textId="77777777" w:rsidR="00FD44E3" w:rsidRPr="00FD44E3" w:rsidRDefault="00FD44E3" w:rsidP="00FD44E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06B7635A" w14:textId="77777777" w:rsidR="00FD44E3" w:rsidRDefault="00FD44E3" w:rsidP="00FD44E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46B22AD" w14:textId="77777777" w:rsidR="00FD44E3" w:rsidRDefault="00FD44E3" w:rsidP="00FD44E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D1E1C6A" w14:textId="77777777" w:rsidR="00FD44E3" w:rsidRDefault="00FD44E3" w:rsidP="00FD44E3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6734F8FB" w14:textId="77777777" w:rsidR="00FD44E3" w:rsidRDefault="00FD44E3" w:rsidP="00FD44E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7640934A" w14:textId="77777777" w:rsidR="00FD44E3" w:rsidRPr="00FD44E3" w:rsidRDefault="00FD44E3" w:rsidP="00FD44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val="kk-KZ"/>
        </w:rPr>
      </w:pPr>
    </w:p>
    <w:p w14:paraId="265F837B" w14:textId="77777777" w:rsidR="00FD44E3" w:rsidRDefault="00FD44E3" w:rsidP="00FD44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3943DA6E" w14:textId="77777777" w:rsidR="00FD44E3" w:rsidRDefault="00FD44E3" w:rsidP="00FD44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7B1F7224" w14:textId="77777777" w:rsidR="00FD44E3" w:rsidRDefault="00FD44E3" w:rsidP="00FD44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lastRenderedPageBreak/>
        <w:t>2. https://adilet.zan.kz › kaz</w:t>
      </w:r>
    </w:p>
    <w:p w14:paraId="006ADA86" w14:textId="77777777" w:rsidR="00FD44E3" w:rsidRDefault="00FD44E3" w:rsidP="00FD44E3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1"/>
    </w:p>
    <w:p w14:paraId="743168E0" w14:textId="1E4DFB82" w:rsidR="00FD44E3" w:rsidRPr="00FD44E3" w:rsidRDefault="00FD44E3" w:rsidP="00FD44E3">
      <w:pPr>
        <w:tabs>
          <w:tab w:val="left" w:pos="2265"/>
        </w:tabs>
        <w:rPr>
          <w:lang w:val="kk-KZ"/>
        </w:rPr>
      </w:pPr>
    </w:p>
    <w:sectPr w:rsidR="00FD44E3" w:rsidRPr="00FD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abstractNum w:abstractNumId="2" w15:restartNumberingAfterBreak="0">
    <w:nsid w:val="59184954"/>
    <w:multiLevelType w:val="hybridMultilevel"/>
    <w:tmpl w:val="CB04F792"/>
    <w:lvl w:ilvl="0" w:tplc="D49030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495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4764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1338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13"/>
    <w:rsid w:val="0016422B"/>
    <w:rsid w:val="00380FDB"/>
    <w:rsid w:val="004D4247"/>
    <w:rsid w:val="00527E13"/>
    <w:rsid w:val="009C5BC6"/>
    <w:rsid w:val="00B714B9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AF95"/>
  <w15:chartTrackingRefBased/>
  <w15:docId w15:val="{4FC42E87-62DF-480E-9F94-98D10899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4E3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44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D44E3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FD44E3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FD44E3"/>
  </w:style>
  <w:style w:type="character" w:styleId="a5">
    <w:name w:val="Strong"/>
    <w:basedOn w:val="a0"/>
    <w:uiPriority w:val="22"/>
    <w:qFormat/>
    <w:rsid w:val="00FD4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6</cp:revision>
  <dcterms:created xsi:type="dcterms:W3CDTF">2022-12-17T02:42:00Z</dcterms:created>
  <dcterms:modified xsi:type="dcterms:W3CDTF">2022-12-17T12:47:00Z</dcterms:modified>
</cp:coreProperties>
</file>